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354" w:lineRule="auto"/>
        <w:ind w:left="3453" w:right="828" w:hanging="3447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40"/>
          <w:sz w:val="44"/>
          <w:szCs w:val="44"/>
        </w:rPr>
        <w:t>少数民族高层次骨干人才计划研究生定向协议</w:t>
      </w:r>
      <w:r>
        <w:rPr>
          <w:rFonts w:ascii="宋体" w:hAnsi="宋体" w:eastAsia="宋体" w:cs="宋体"/>
          <w:spacing w:val="-39"/>
          <w:sz w:val="44"/>
          <w:szCs w:val="44"/>
        </w:rPr>
        <w:t>书</w:t>
      </w:r>
    </w:p>
    <w:p>
      <w:pPr>
        <w:spacing w:before="143" w:line="354" w:lineRule="auto"/>
        <w:ind w:left="3453" w:right="828" w:hanging="3447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(</w:t>
      </w:r>
      <w:r>
        <w:rPr>
          <w:rFonts w:ascii="楷体" w:hAnsi="楷体" w:eastAsia="楷体" w:cs="楷体"/>
          <w:spacing w:val="-2"/>
          <w:sz w:val="32"/>
          <w:szCs w:val="32"/>
        </w:rPr>
        <w:t>在职考生模</w:t>
      </w:r>
      <w:r>
        <w:rPr>
          <w:rFonts w:ascii="楷体" w:hAnsi="楷体" w:eastAsia="楷体" w:cs="楷体"/>
          <w:spacing w:val="-1"/>
          <w:sz w:val="32"/>
          <w:szCs w:val="32"/>
        </w:rPr>
        <w:t>板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)</w:t>
      </w:r>
    </w:p>
    <w:p/>
    <w:p>
      <w:pPr>
        <w:spacing w:line="23" w:lineRule="auto"/>
        <w:rPr>
          <w:rFonts w:ascii="Arial"/>
          <w:sz w:val="2"/>
        </w:rPr>
      </w:pPr>
    </w:p>
    <w:p>
      <w:pPr>
        <w:sectPr>
          <w:footerReference r:id="rId5" w:type="default"/>
          <w:pgSz w:w="11906" w:h="16839"/>
          <w:pgMar w:top="1431" w:right="1137" w:bottom="1922" w:left="1531" w:header="0" w:footer="1672" w:gutter="0"/>
          <w:cols w:equalWidth="0" w:num="1">
            <w:col w:w="9238"/>
          </w:cols>
        </w:sectPr>
      </w:pPr>
    </w:p>
    <w:p>
      <w:pPr>
        <w:spacing w:before="75" w:line="540" w:lineRule="exact"/>
        <w:ind w:left="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16"/>
          <w:sz w:val="28"/>
          <w:szCs w:val="28"/>
        </w:rPr>
        <w:t>甲</w:t>
      </w:r>
      <w:r>
        <w:rPr>
          <w:rFonts w:ascii="仿宋" w:hAnsi="仿宋" w:eastAsia="仿宋" w:cs="仿宋"/>
          <w:spacing w:val="-7"/>
          <w:position w:val="16"/>
          <w:sz w:val="28"/>
          <w:szCs w:val="28"/>
        </w:rPr>
        <w:t>方</w:t>
      </w:r>
      <w:r>
        <w:rPr>
          <w:rFonts w:ascii="Times New Roman" w:hAnsi="Times New Roman" w:eastAsia="Times New Roman" w:cs="Times New Roman"/>
          <w:spacing w:val="-5"/>
          <w:position w:val="16"/>
          <w:sz w:val="28"/>
          <w:szCs w:val="28"/>
        </w:rPr>
        <w:t>(</w:t>
      </w:r>
      <w:r>
        <w:rPr>
          <w:rFonts w:ascii="仿宋" w:hAnsi="仿宋" w:eastAsia="仿宋" w:cs="仿宋"/>
          <w:spacing w:val="-5"/>
          <w:position w:val="16"/>
          <w:sz w:val="28"/>
          <w:szCs w:val="28"/>
        </w:rPr>
        <w:t>招生单位</w:t>
      </w:r>
      <w:r>
        <w:rPr>
          <w:rFonts w:ascii="Times New Roman" w:hAnsi="Times New Roman" w:eastAsia="Times New Roman" w:cs="Times New Roman"/>
          <w:spacing w:val="-5"/>
          <w:position w:val="16"/>
          <w:sz w:val="28"/>
          <w:szCs w:val="28"/>
        </w:rPr>
        <w:t>)</w:t>
      </w:r>
      <w:r>
        <w:rPr>
          <w:rFonts w:ascii="仿宋" w:hAnsi="仿宋" w:eastAsia="仿宋" w:cs="仿宋"/>
          <w:spacing w:val="-5"/>
          <w:position w:val="16"/>
          <w:sz w:val="28"/>
          <w:szCs w:val="28"/>
        </w:rPr>
        <w:t>：</w:t>
      </w:r>
    </w:p>
    <w:p>
      <w:pPr>
        <w:spacing w:line="376" w:lineRule="exact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3"/>
          <w:sz w:val="28"/>
          <w:szCs w:val="28"/>
        </w:rPr>
        <w:t>丙</w:t>
      </w:r>
      <w:r>
        <w:rPr>
          <w:rFonts w:ascii="仿宋" w:hAnsi="仿宋" w:eastAsia="仿宋" w:cs="仿宋"/>
          <w:spacing w:val="-3"/>
          <w:position w:val="3"/>
          <w:sz w:val="28"/>
          <w:szCs w:val="28"/>
        </w:rPr>
        <w:t>方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>(</w:t>
      </w:r>
      <w:r>
        <w:rPr>
          <w:rFonts w:ascii="仿宋" w:hAnsi="仿宋" w:eastAsia="仿宋" w:cs="仿宋"/>
          <w:spacing w:val="-2"/>
          <w:position w:val="3"/>
          <w:sz w:val="28"/>
          <w:szCs w:val="28"/>
        </w:rPr>
        <w:t>定向生本人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>)</w:t>
      </w:r>
      <w:r>
        <w:rPr>
          <w:rFonts w:ascii="仿宋" w:hAnsi="仿宋" w:eastAsia="仿宋" w:cs="仿宋"/>
          <w:spacing w:val="-2"/>
          <w:position w:val="3"/>
          <w:sz w:val="28"/>
          <w:szCs w:val="28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377" w:lineRule="exact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3"/>
          <w:sz w:val="28"/>
          <w:szCs w:val="28"/>
        </w:rPr>
        <w:t>乙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方</w:t>
      </w:r>
      <w:r>
        <w:rPr>
          <w:rFonts w:ascii="Times New Roman" w:hAnsi="Times New Roman" w:eastAsia="Times New Roman" w:cs="Times New Roman"/>
          <w:spacing w:val="-5"/>
          <w:position w:val="3"/>
          <w:sz w:val="28"/>
          <w:szCs w:val="28"/>
        </w:rPr>
        <w:t>(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定向单位</w:t>
      </w:r>
      <w:r>
        <w:rPr>
          <w:rFonts w:ascii="Times New Roman" w:hAnsi="Times New Roman" w:eastAsia="Times New Roman" w:cs="Times New Roman"/>
          <w:spacing w:val="-5"/>
          <w:position w:val="3"/>
          <w:sz w:val="28"/>
          <w:szCs w:val="28"/>
        </w:rPr>
        <w:t>)</w:t>
      </w:r>
      <w:r>
        <w:rPr>
          <w:rFonts w:ascii="仿宋" w:hAnsi="仿宋" w:eastAsia="仿宋" w:cs="仿宋"/>
          <w:spacing w:val="-5"/>
          <w:position w:val="3"/>
          <w:sz w:val="28"/>
          <w:szCs w:val="28"/>
        </w:rPr>
        <w:t>：</w:t>
      </w:r>
    </w:p>
    <w:p>
      <w:pPr>
        <w:spacing w:before="163" w:line="377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3"/>
          <w:sz w:val="28"/>
          <w:szCs w:val="28"/>
        </w:rPr>
        <w:t>丁方</w:t>
      </w:r>
      <w:r>
        <w:rPr>
          <w:rFonts w:ascii="Times New Roman" w:hAnsi="Times New Roman" w:eastAsia="Times New Roman" w:cs="Times New Roman"/>
          <w:spacing w:val="-2"/>
          <w:position w:val="3"/>
          <w:sz w:val="28"/>
          <w:szCs w:val="28"/>
        </w:rPr>
        <w:t>(</w:t>
      </w:r>
      <w:r>
        <w:rPr>
          <w:rFonts w:ascii="仿宋" w:hAnsi="仿宋" w:eastAsia="仿宋" w:cs="仿宋"/>
          <w:spacing w:val="-2"/>
          <w:position w:val="3"/>
          <w:sz w:val="28"/>
          <w:szCs w:val="28"/>
        </w:rPr>
        <w:t>定向单位所在省</w:t>
      </w:r>
      <w:r>
        <w:rPr>
          <w:rFonts w:ascii="仿宋" w:hAnsi="仿宋" w:eastAsia="仿宋" w:cs="仿宋"/>
          <w:spacing w:val="-1"/>
          <w:position w:val="3"/>
          <w:sz w:val="28"/>
          <w:szCs w:val="28"/>
        </w:rPr>
        <w:t>级教育行政部门</w:t>
      </w:r>
      <w:r>
        <w:rPr>
          <w:rFonts w:ascii="Times New Roman" w:hAnsi="Times New Roman" w:eastAsia="Times New Roman" w:cs="Times New Roman"/>
          <w:spacing w:val="-1"/>
          <w:position w:val="3"/>
          <w:sz w:val="28"/>
          <w:szCs w:val="28"/>
        </w:rPr>
        <w:t>)</w:t>
      </w:r>
      <w:r>
        <w:rPr>
          <w:rFonts w:ascii="仿宋" w:hAnsi="仿宋" w:eastAsia="仿宋" w:cs="仿宋"/>
          <w:spacing w:val="-1"/>
          <w:position w:val="3"/>
          <w:sz w:val="28"/>
          <w:szCs w:val="28"/>
        </w:rPr>
        <w:t>：</w:t>
      </w:r>
    </w:p>
    <w:p>
      <w:pPr>
        <w:sectPr>
          <w:type w:val="continuous"/>
          <w:pgSz w:w="11906" w:h="16839"/>
          <w:pgMar w:top="1431" w:right="1137" w:bottom="1922" w:left="1531" w:header="0" w:footer="1672" w:gutter="0"/>
          <w:cols w:equalWidth="0" w:num="2">
            <w:col w:w="3616" w:space="100"/>
            <w:col w:w="5523"/>
          </w:cols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1" w:line="356" w:lineRule="auto"/>
        <w:ind w:left="28" w:right="134" w:firstLine="6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根据</w:t>
      </w:r>
      <w:r>
        <w:rPr>
          <w:rFonts w:ascii="仿宋" w:hAnsi="仿宋" w:eastAsia="仿宋" w:cs="仿宋"/>
          <w:sz w:val="28"/>
          <w:szCs w:val="28"/>
        </w:rPr>
        <w:t xml:space="preserve">《教育部办公厅关于下达 </w:t>
      </w: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 xml:space="preserve">年少数民族高层次骨干人才研究 </w:t>
      </w:r>
      <w:r>
        <w:rPr>
          <w:rFonts w:ascii="仿宋" w:hAnsi="仿宋" w:eastAsia="仿宋" w:cs="仿宋"/>
          <w:spacing w:val="-32"/>
          <w:sz w:val="28"/>
          <w:szCs w:val="28"/>
        </w:rPr>
        <w:t>生</w:t>
      </w:r>
      <w:r>
        <w:rPr>
          <w:rFonts w:ascii="仿宋" w:hAnsi="仿宋" w:eastAsia="仿宋" w:cs="仿宋"/>
          <w:spacing w:val="-27"/>
          <w:sz w:val="28"/>
          <w:szCs w:val="28"/>
        </w:rPr>
        <w:t>招</w:t>
      </w:r>
      <w:r>
        <w:rPr>
          <w:rFonts w:ascii="仿宋" w:hAnsi="仿宋" w:eastAsia="仿宋" w:cs="仿宋"/>
          <w:spacing w:val="-16"/>
          <w:sz w:val="28"/>
          <w:szCs w:val="28"/>
        </w:rPr>
        <w:t>生计划的通知》，就丙方攻读少数民族高层次骨干人才研究生事宜， 甲、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乙、</w:t>
      </w:r>
      <w:r>
        <w:rPr>
          <w:rFonts w:ascii="仿宋" w:hAnsi="仿宋" w:eastAsia="仿宋" w:cs="仿宋"/>
          <w:spacing w:val="-7"/>
          <w:sz w:val="28"/>
          <w:szCs w:val="28"/>
        </w:rPr>
        <w:t>丙</w:t>
      </w:r>
      <w:r>
        <w:rPr>
          <w:rFonts w:ascii="仿宋" w:hAnsi="仿宋" w:eastAsia="仿宋" w:cs="仿宋"/>
          <w:spacing w:val="-5"/>
          <w:sz w:val="28"/>
          <w:szCs w:val="28"/>
        </w:rPr>
        <w:t>、丁四方经协商达成如下协议：</w:t>
      </w:r>
    </w:p>
    <w:p>
      <w:pPr>
        <w:spacing w:before="1" w:line="348" w:lineRule="auto"/>
        <w:ind w:right="220" w:firstLine="7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一、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甲方录取丙方为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spacing w:val="1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年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________________ </w:t>
      </w:r>
      <w:r>
        <w:rPr>
          <w:rFonts w:ascii="仿宋" w:hAnsi="仿宋" w:eastAsia="仿宋" w:cs="仿宋"/>
          <w:spacing w:val="1"/>
          <w:sz w:val="28"/>
          <w:szCs w:val="28"/>
        </w:rPr>
        <w:t>专业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(</w:t>
      </w:r>
      <w:r>
        <w:rPr>
          <w:rFonts w:ascii="仿宋" w:hAnsi="仿宋" w:eastAsia="仿宋" w:cs="仿宋"/>
          <w:spacing w:val="8"/>
          <w:sz w:val="28"/>
          <w:szCs w:val="28"/>
        </w:rPr>
        <w:t>全日制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/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非全日制) 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 xml:space="preserve">_____________ </w:t>
      </w:r>
      <w:r>
        <w:rPr>
          <w:rFonts w:ascii="仿宋" w:hAnsi="仿宋" w:eastAsia="仿宋" w:cs="仿宋"/>
          <w:spacing w:val="8"/>
          <w:sz w:val="28"/>
          <w:szCs w:val="28"/>
        </w:rPr>
        <w:t>(硕士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/</w:t>
      </w:r>
      <w:r>
        <w:rPr>
          <w:rFonts w:ascii="仿宋" w:hAnsi="仿宋" w:eastAsia="仿宋" w:cs="仿宋"/>
          <w:spacing w:val="8"/>
          <w:sz w:val="28"/>
          <w:szCs w:val="28"/>
        </w:rPr>
        <w:t>博士)研究生。</w:t>
      </w:r>
    </w:p>
    <w:p>
      <w:pPr>
        <w:spacing w:before="24" w:line="356" w:lineRule="auto"/>
        <w:ind w:left="7" w:right="223" w:firstLine="6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二</w:t>
      </w:r>
      <w:r>
        <w:rPr>
          <w:rFonts w:ascii="仿宋" w:hAnsi="仿宋" w:eastAsia="仿宋" w:cs="仿宋"/>
          <w:spacing w:val="-13"/>
          <w:sz w:val="28"/>
          <w:szCs w:val="28"/>
        </w:rPr>
        <w:t>、</w:t>
      </w:r>
      <w:r>
        <w:rPr>
          <w:rFonts w:ascii="仿宋" w:hAnsi="仿宋" w:eastAsia="仿宋" w:cs="仿宋"/>
          <w:spacing w:val="-7"/>
          <w:sz w:val="28"/>
          <w:szCs w:val="28"/>
        </w:rPr>
        <w:t>甲方根据《普通高等学校学生</w:t>
      </w:r>
      <w:bookmarkStart w:id="0" w:name="_GoBack"/>
      <w:bookmarkEnd w:id="0"/>
      <w:r>
        <w:rPr>
          <w:rFonts w:ascii="仿宋" w:hAnsi="仿宋" w:eastAsia="仿宋" w:cs="仿宋"/>
          <w:spacing w:val="-7"/>
          <w:sz w:val="28"/>
          <w:szCs w:val="28"/>
        </w:rPr>
        <w:t>管理规定》对丙方进行管理， 按培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养方案对丙方进行培养。丙方在</w:t>
      </w:r>
      <w:r>
        <w:rPr>
          <w:rFonts w:ascii="仿宋" w:hAnsi="仿宋" w:eastAsia="仿宋" w:cs="仿宋"/>
          <w:spacing w:val="1"/>
          <w:sz w:val="28"/>
          <w:szCs w:val="28"/>
        </w:rPr>
        <w:t>校学习期间学费、住宿费等按国家及甲方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相关规定缴纳。丙方学习期满、符合毕业条件， 甲方准予毕业；符合</w:t>
      </w:r>
      <w:r>
        <w:rPr>
          <w:rFonts w:ascii="仿宋" w:hAnsi="仿宋" w:eastAsia="仿宋" w:cs="仿宋"/>
          <w:spacing w:val="-1"/>
          <w:sz w:val="28"/>
          <w:szCs w:val="28"/>
        </w:rPr>
        <w:t>相</w:t>
      </w:r>
      <w:r>
        <w:rPr>
          <w:rFonts w:ascii="仿宋" w:hAnsi="仿宋" w:eastAsia="仿宋" w:cs="仿宋"/>
          <w:sz w:val="28"/>
          <w:szCs w:val="28"/>
        </w:rPr>
        <w:t xml:space="preserve">应 </w:t>
      </w:r>
      <w:r>
        <w:rPr>
          <w:rFonts w:ascii="仿宋" w:hAnsi="仿宋" w:eastAsia="仿宋" w:cs="仿宋"/>
          <w:spacing w:val="-7"/>
          <w:sz w:val="28"/>
          <w:szCs w:val="28"/>
        </w:rPr>
        <w:t>学位授予条件， 甲方授予相应学位。丙方学习结束离校后， 甲方将丙方</w:t>
      </w:r>
      <w:r>
        <w:rPr>
          <w:rFonts w:ascii="仿宋" w:hAnsi="仿宋" w:eastAsia="仿宋" w:cs="仿宋"/>
          <w:spacing w:val="-3"/>
          <w:sz w:val="28"/>
          <w:szCs w:val="28"/>
        </w:rPr>
        <w:t>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业证书、学位证书及就读期间档案等寄送乙方，乙方负责安排丙方工作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>
      <w:pPr>
        <w:spacing w:line="356" w:lineRule="auto"/>
        <w:ind w:left="10" w:firstLine="6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三</w:t>
      </w:r>
      <w:r>
        <w:rPr>
          <w:rFonts w:ascii="仿宋" w:hAnsi="仿宋" w:eastAsia="仿宋" w:cs="仿宋"/>
          <w:spacing w:val="7"/>
          <w:sz w:val="28"/>
          <w:szCs w:val="28"/>
        </w:rPr>
        <w:t>、</w:t>
      </w:r>
      <w:r>
        <w:rPr>
          <w:rFonts w:ascii="仿宋" w:hAnsi="仿宋" w:eastAsia="仿宋" w:cs="仿宋"/>
          <w:spacing w:val="4"/>
          <w:sz w:val="28"/>
          <w:szCs w:val="28"/>
        </w:rPr>
        <w:t>丙方学习期间不迁转户口，党团组织关系按甲方有关规定办理。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乙方负责管理丙方学习期</w:t>
      </w:r>
      <w:r>
        <w:rPr>
          <w:rFonts w:ascii="仿宋" w:hAnsi="仿宋" w:eastAsia="仿宋" w:cs="仿宋"/>
          <w:spacing w:val="1"/>
          <w:sz w:val="28"/>
          <w:szCs w:val="28"/>
        </w:rPr>
        <w:t>间户籍关系和人事档案。丙方学习期间工资、医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疗保险、福利待遇和职务职称晋升等， 由乙方和丙方协商解决。丙方毕</w:t>
      </w:r>
      <w:r>
        <w:rPr>
          <w:rFonts w:ascii="仿宋" w:hAnsi="仿宋" w:eastAsia="仿宋" w:cs="仿宋"/>
          <w:spacing w:val="-1"/>
          <w:sz w:val="28"/>
          <w:szCs w:val="28"/>
        </w:rPr>
        <w:t>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后</w:t>
      </w:r>
      <w:r>
        <w:rPr>
          <w:rFonts w:ascii="仿宋" w:hAnsi="仿宋" w:eastAsia="仿宋" w:cs="仿宋"/>
          <w:spacing w:val="-7"/>
          <w:sz w:val="28"/>
          <w:szCs w:val="28"/>
        </w:rPr>
        <w:t>，</w:t>
      </w:r>
      <w:r>
        <w:rPr>
          <w:rFonts w:ascii="仿宋" w:hAnsi="仿宋" w:eastAsia="仿宋" w:cs="仿宋"/>
          <w:spacing w:val="-4"/>
          <w:sz w:val="28"/>
          <w:szCs w:val="28"/>
        </w:rPr>
        <w:t>甲方负责将其派遣回乙方。</w:t>
      </w:r>
    </w:p>
    <w:p>
      <w:pPr>
        <w:spacing w:before="1" w:line="215" w:lineRule="auto"/>
        <w:ind w:left="7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四</w:t>
      </w:r>
      <w:r>
        <w:rPr>
          <w:rFonts w:ascii="仿宋" w:hAnsi="仿宋" w:eastAsia="仿宋" w:cs="仿宋"/>
          <w:spacing w:val="-12"/>
          <w:sz w:val="28"/>
          <w:szCs w:val="28"/>
        </w:rPr>
        <w:t>、丙方学习结束后， 必须回乙方工作， 硕士毕业服务年限不得少于</w:t>
      </w:r>
    </w:p>
    <w:p>
      <w:pPr>
        <w:spacing w:before="213" w:line="184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7"/>
          <w:sz w:val="28"/>
          <w:szCs w:val="28"/>
        </w:rPr>
        <w:t>年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(含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5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年， 其中西藏班、新疆班教师和管理人员为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4"/>
          <w:sz w:val="28"/>
          <w:szCs w:val="28"/>
        </w:rPr>
        <w:t>年)，博士毕业服</w:t>
      </w:r>
    </w:p>
    <w:p>
      <w:pPr>
        <w:sectPr>
          <w:type w:val="continuous"/>
          <w:pgSz w:w="11906" w:h="16839"/>
          <w:pgMar w:top="1431" w:right="1137" w:bottom="1922" w:left="1531" w:header="0" w:footer="1672" w:gutter="0"/>
          <w:cols w:equalWidth="0" w:num="1">
            <w:col w:w="9238"/>
          </w:cols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17" w:lineRule="auto"/>
        <w:ind w:left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 xml:space="preserve">务年限不得少于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年(含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1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)。</w:t>
      </w:r>
    </w:p>
    <w:p>
      <w:pPr>
        <w:spacing w:before="210" w:line="356" w:lineRule="auto"/>
        <w:ind w:firstLine="6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五</w:t>
      </w:r>
      <w:r>
        <w:rPr>
          <w:rFonts w:ascii="仿宋" w:hAnsi="仿宋" w:eastAsia="仿宋" w:cs="仿宋"/>
          <w:spacing w:val="-13"/>
          <w:sz w:val="28"/>
          <w:szCs w:val="28"/>
        </w:rPr>
        <w:t>、</w:t>
      </w:r>
      <w:r>
        <w:rPr>
          <w:rFonts w:ascii="仿宋" w:hAnsi="仿宋" w:eastAsia="仿宋" w:cs="仿宋"/>
          <w:spacing w:val="-11"/>
          <w:sz w:val="28"/>
          <w:szCs w:val="28"/>
        </w:rPr>
        <w:t>按照研究生学籍管理规定， 一经录取， 丙方须及时办理入学手续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并注册学籍，修业年限</w:t>
      </w:r>
      <w:r>
        <w:rPr>
          <w:rFonts w:ascii="仿宋" w:hAnsi="仿宋" w:eastAsia="仿宋" w:cs="仿宋"/>
          <w:spacing w:val="1"/>
          <w:sz w:val="28"/>
          <w:szCs w:val="28"/>
        </w:rPr>
        <w:t>和学习年限与其他普通类招生计划保持一致。在校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期间，丙方须遵守甲方</w:t>
      </w:r>
      <w:r>
        <w:rPr>
          <w:rFonts w:ascii="仿宋" w:hAnsi="仿宋" w:eastAsia="仿宋" w:cs="仿宋"/>
          <w:spacing w:val="1"/>
          <w:sz w:val="28"/>
          <w:szCs w:val="28"/>
        </w:rPr>
        <w:t>各项规章制度，按时完成学业。丙方在校期间教育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管理服务各类事项，如</w:t>
      </w:r>
      <w:r>
        <w:rPr>
          <w:rFonts w:ascii="仿宋" w:hAnsi="仿宋" w:eastAsia="仿宋" w:cs="仿宋"/>
          <w:spacing w:val="1"/>
          <w:sz w:val="28"/>
          <w:szCs w:val="28"/>
        </w:rPr>
        <w:t>出国交换学习、学籍变动、学业奖助等，均按甲方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有</w:t>
      </w:r>
      <w:r>
        <w:rPr>
          <w:rFonts w:ascii="仿宋" w:hAnsi="仿宋" w:eastAsia="仿宋" w:cs="仿宋"/>
          <w:spacing w:val="-8"/>
          <w:sz w:val="28"/>
          <w:szCs w:val="28"/>
        </w:rPr>
        <w:t>关规定执行。</w:t>
      </w:r>
    </w:p>
    <w:p>
      <w:pPr>
        <w:spacing w:line="356" w:lineRule="auto"/>
        <w:ind w:left="3" w:firstLine="6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六</w:t>
      </w:r>
      <w:r>
        <w:rPr>
          <w:rFonts w:ascii="仿宋" w:hAnsi="仿宋" w:eastAsia="仿宋" w:cs="仿宋"/>
          <w:spacing w:val="-15"/>
          <w:sz w:val="28"/>
          <w:szCs w:val="28"/>
        </w:rPr>
        <w:t>、</w:t>
      </w:r>
      <w:r>
        <w:rPr>
          <w:rFonts w:ascii="仿宋" w:hAnsi="仿宋" w:eastAsia="仿宋" w:cs="仿宋"/>
          <w:spacing w:val="-11"/>
          <w:sz w:val="28"/>
          <w:szCs w:val="28"/>
        </w:rPr>
        <w:t>本协议一式五份， 经甲、乙、丙、丁四方签字并加盖公章， 自丙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方取</w:t>
      </w:r>
      <w:r>
        <w:rPr>
          <w:rFonts w:ascii="仿宋" w:hAnsi="仿宋" w:eastAsia="仿宋" w:cs="仿宋"/>
          <w:spacing w:val="6"/>
          <w:sz w:val="28"/>
          <w:szCs w:val="28"/>
        </w:rPr>
        <w:t>得</w:t>
      </w:r>
      <w:r>
        <w:rPr>
          <w:rFonts w:ascii="仿宋" w:hAnsi="仿宋" w:eastAsia="仿宋" w:cs="仿宋"/>
          <w:spacing w:val="5"/>
          <w:sz w:val="28"/>
          <w:szCs w:val="28"/>
        </w:rPr>
        <w:t>正式学籍(报到) 之日起生效。甲、乙、丙、丁四方各持有一份，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一份存</w:t>
      </w:r>
      <w:r>
        <w:rPr>
          <w:rFonts w:ascii="仿宋" w:hAnsi="仿宋" w:eastAsia="仿宋" w:cs="仿宋"/>
          <w:spacing w:val="-3"/>
          <w:sz w:val="28"/>
          <w:szCs w:val="28"/>
        </w:rPr>
        <w:t>入丙方个人档案，具有同等法律效力。</w:t>
      </w:r>
    </w:p>
    <w:p>
      <w:pPr>
        <w:spacing w:line="217" w:lineRule="auto"/>
        <w:ind w:left="6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七、</w:t>
      </w:r>
      <w:r>
        <w:rPr>
          <w:rFonts w:ascii="仿宋" w:hAnsi="仿宋" w:eastAsia="仿宋" w:cs="仿宋"/>
          <w:spacing w:val="-3"/>
          <w:sz w:val="28"/>
          <w:szCs w:val="28"/>
        </w:rPr>
        <w:t>未尽事宜，由甲、乙、丙、丁四方协商解决。</w:t>
      </w:r>
    </w:p>
    <w:p/>
    <w:p/>
    <w:p/>
    <w:p/>
    <w:p/>
    <w:p/>
    <w:p/>
    <w:p/>
    <w:p/>
    <w:p/>
    <w:p/>
    <w:p>
      <w:pPr>
        <w:spacing w:line="198" w:lineRule="exact"/>
      </w:pPr>
    </w:p>
    <w:p>
      <w:pPr>
        <w:sectPr>
          <w:pgSz w:w="11906" w:h="16839"/>
          <w:pgMar w:top="1431" w:right="1360" w:bottom="1922" w:left="1543" w:header="0" w:footer="1673" w:gutter="0"/>
          <w:cols w:equalWidth="0" w:num="1">
            <w:col w:w="9003"/>
          </w:cols>
        </w:sectPr>
      </w:pPr>
    </w:p>
    <w:p>
      <w:pPr>
        <w:spacing w:before="56" w:line="540" w:lineRule="exact"/>
        <w:ind w:left="4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position w:val="19"/>
          <w:sz w:val="28"/>
          <w:szCs w:val="28"/>
        </w:rPr>
        <w:t>甲</w:t>
      </w:r>
      <w:r>
        <w:rPr>
          <w:rFonts w:ascii="仿宋" w:hAnsi="仿宋" w:eastAsia="仿宋" w:cs="仿宋"/>
          <w:spacing w:val="-15"/>
          <w:position w:val="19"/>
          <w:sz w:val="28"/>
          <w:szCs w:val="28"/>
        </w:rPr>
        <w:t>方单位公章：</w:t>
      </w:r>
    </w:p>
    <w:p>
      <w:pPr>
        <w:spacing w:line="217" w:lineRule="auto"/>
        <w:ind w:left="4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甲</w:t>
      </w:r>
      <w:r>
        <w:rPr>
          <w:rFonts w:ascii="仿宋" w:hAnsi="仿宋" w:eastAsia="仿宋" w:cs="仿宋"/>
          <w:spacing w:val="-13"/>
          <w:sz w:val="28"/>
          <w:szCs w:val="28"/>
        </w:rPr>
        <w:t>方负责人签字：</w:t>
      </w:r>
    </w:p>
    <w:p>
      <w:pPr>
        <w:spacing w:before="211" w:line="184" w:lineRule="auto"/>
        <w:ind w:left="9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5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position w:val="19"/>
          <w:sz w:val="28"/>
          <w:szCs w:val="28"/>
        </w:rPr>
        <w:t>乙</w:t>
      </w:r>
      <w:r>
        <w:rPr>
          <w:rFonts w:ascii="仿宋" w:hAnsi="仿宋" w:eastAsia="仿宋" w:cs="仿宋"/>
          <w:spacing w:val="-15"/>
          <w:position w:val="19"/>
          <w:sz w:val="28"/>
          <w:szCs w:val="28"/>
        </w:rPr>
        <w:t>方单位公章：</w:t>
      </w:r>
    </w:p>
    <w:p>
      <w:pPr>
        <w:spacing w:before="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乙</w:t>
      </w:r>
      <w:r>
        <w:rPr>
          <w:rFonts w:ascii="仿宋" w:hAnsi="仿宋" w:eastAsia="仿宋" w:cs="仿宋"/>
          <w:spacing w:val="-13"/>
          <w:sz w:val="28"/>
          <w:szCs w:val="28"/>
        </w:rPr>
        <w:t>方负责人签字：</w:t>
      </w:r>
    </w:p>
    <w:p>
      <w:pPr>
        <w:spacing w:before="208" w:line="184" w:lineRule="auto"/>
        <w:ind w:left="6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 日</w:t>
      </w:r>
    </w:p>
    <w:p>
      <w:pPr>
        <w:sectPr>
          <w:type w:val="continuous"/>
          <w:pgSz w:w="11906" w:h="16839"/>
          <w:pgMar w:top="1431" w:right="1360" w:bottom="1922" w:left="1543" w:header="0" w:footer="1673" w:gutter="0"/>
          <w:cols w:equalWidth="0" w:num="2">
            <w:col w:w="5118" w:space="100"/>
            <w:col w:w="3785"/>
          </w:cols>
        </w:sectPr>
      </w:pPr>
    </w:p>
    <w:p/>
    <w:p/>
    <w:p/>
    <w:p/>
    <w:p>
      <w:pPr>
        <w:spacing w:line="78" w:lineRule="exact"/>
      </w:pPr>
    </w:p>
    <w:p>
      <w:pPr>
        <w:spacing w:line="78" w:lineRule="exact"/>
      </w:pPr>
    </w:p>
    <w:p>
      <w:pPr>
        <w:sectPr>
          <w:type w:val="continuous"/>
          <w:pgSz w:w="11906" w:h="16839"/>
          <w:pgMar w:top="1431" w:right="1360" w:bottom="1922" w:left="1543" w:header="0" w:footer="1673" w:gutter="0"/>
          <w:cols w:equalWidth="0" w:num="1">
            <w:col w:w="9003"/>
          </w:cols>
        </w:sectPr>
      </w:pPr>
    </w:p>
    <w:p>
      <w:pPr>
        <w:spacing w:before="55" w:line="219" w:lineRule="auto"/>
        <w:ind w:left="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丙</w:t>
      </w:r>
      <w:r>
        <w:rPr>
          <w:rFonts w:ascii="仿宋" w:hAnsi="仿宋" w:eastAsia="仿宋" w:cs="仿宋"/>
          <w:spacing w:val="-15"/>
          <w:sz w:val="28"/>
          <w:szCs w:val="28"/>
        </w:rPr>
        <w:t>方签字：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92" w:line="184" w:lineRule="auto"/>
        <w:ind w:left="11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5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position w:val="19"/>
          <w:sz w:val="28"/>
          <w:szCs w:val="28"/>
        </w:rPr>
        <w:t>丁</w:t>
      </w:r>
      <w:r>
        <w:rPr>
          <w:rFonts w:ascii="仿宋" w:hAnsi="仿宋" w:eastAsia="仿宋" w:cs="仿宋"/>
          <w:spacing w:val="-12"/>
          <w:position w:val="19"/>
          <w:sz w:val="28"/>
          <w:szCs w:val="28"/>
        </w:rPr>
        <w:t>方单位公章：</w:t>
      </w:r>
    </w:p>
    <w:p>
      <w:pPr>
        <w:spacing w:before="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丁</w:t>
      </w:r>
      <w:r>
        <w:rPr>
          <w:rFonts w:ascii="仿宋" w:hAnsi="仿宋" w:eastAsia="仿宋" w:cs="仿宋"/>
          <w:spacing w:val="-11"/>
          <w:sz w:val="28"/>
          <w:szCs w:val="28"/>
        </w:rPr>
        <w:t>方负责人签字：</w:t>
      </w:r>
    </w:p>
    <w:p>
      <w:pPr>
        <w:spacing w:before="208" w:line="184" w:lineRule="auto"/>
        <w:ind w:left="825"/>
        <w:sectPr>
          <w:type w:val="continuous"/>
          <w:pgSz w:w="11906" w:h="16839"/>
          <w:pgMar w:top="1431" w:right="1360" w:bottom="1922" w:left="1543" w:header="0" w:footer="1673" w:gutter="0"/>
          <w:cols w:equalWidth="0" w:num="2">
            <w:col w:w="5097" w:space="100"/>
            <w:col w:w="3806"/>
          </w:cols>
        </w:sectPr>
      </w:pPr>
      <w:r>
        <w:rPr>
          <w:rFonts w:ascii="仿宋" w:hAnsi="仿宋" w:eastAsia="仿宋" w:cs="仿宋"/>
          <w:spacing w:val="8"/>
          <w:sz w:val="28"/>
          <w:szCs w:val="28"/>
        </w:rPr>
        <w:t>年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92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GE3ZjM1MjU2NTMyZmMwNWQ5MzFlNTRlYjVmMDMifQ=="/>
  </w:docVars>
  <w:rsids>
    <w:rsidRoot w:val="693441EA"/>
    <w:rsid w:val="4B054ED7"/>
    <w:rsid w:val="50141ED3"/>
    <w:rsid w:val="58C17401"/>
    <w:rsid w:val="65B17FB4"/>
    <w:rsid w:val="6934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红色下划线"/>
    <w:basedOn w:val="4"/>
    <w:qFormat/>
    <w:uiPriority w:val="0"/>
    <w:rPr>
      <w:rFonts w:hint="eastAsia" w:ascii="Calibri" w:hAnsi="Calibri"/>
      <w:sz w:val="28"/>
      <w:szCs w:val="36"/>
      <w:u w:val="thick" w:color="FF0000"/>
      <w:lang w:val="en-US" w:eastAsia="zh-CN"/>
    </w:rPr>
  </w:style>
  <w:style w:type="character" w:customStyle="1" w:styleId="6">
    <w:name w:val="下划线"/>
    <w:basedOn w:val="4"/>
    <w:autoRedefine/>
    <w:qFormat/>
    <w:uiPriority w:val="0"/>
    <w:rPr>
      <w:rFonts w:hint="eastAsia" w:ascii="仿宋" w:hAnsi="仿宋" w:eastAsia="仿宋" w:cs="Courier New"/>
      <w:color w:val="000000" w:themeColor="text1"/>
      <w:sz w:val="32"/>
      <w:szCs w:val="32"/>
      <w:u w:val="thick" w:color="70AD47" w:themeColor="accent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2023-03-21T07:01:00Z</dcterms:created>
  <dc:creator>雪泥鸿爪</dc:creator>
  <cp:lastModifiedBy>阿拉军旗</cp:lastModifiedBy>
  <dcterms:modified xsi:type="dcterms:W3CDTF">2024-03-21T10:46:16Z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7CD33FC98E1F4C8A95F4C28943EF0C3B</vt:lpwstr>
  </property>
</Properties>
</file>